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D7ACE" w14:textId="640BE8DC" w:rsidR="00774798" w:rsidRPr="00CB0CF9" w:rsidRDefault="00EE4100">
      <w:pPr>
        <w:pStyle w:val="LO-normal"/>
        <w:spacing w:after="0" w:line="240" w:lineRule="auto"/>
        <w:rPr>
          <w:rFonts w:asciiTheme="majorHAnsi" w:eastAsia="Arial Narrow" w:hAnsiTheme="majorHAnsi" w:cstheme="majorHAnsi"/>
          <w:b/>
          <w:bCs/>
          <w:color w:val="000000"/>
          <w:sz w:val="10"/>
          <w:szCs w:val="10"/>
        </w:rPr>
      </w:pPr>
      <w:r w:rsidRPr="00CB0CF9">
        <w:rPr>
          <w:rFonts w:asciiTheme="majorHAnsi" w:eastAsia="Arial Black" w:hAnsiTheme="majorHAnsi" w:cstheme="majorHAnsi"/>
          <w:b/>
          <w:bCs/>
          <w:color w:val="000000"/>
          <w:sz w:val="10"/>
          <w:szCs w:val="10"/>
        </w:rPr>
        <w:t xml:space="preserve">(CZ) </w:t>
      </w:r>
      <w:r w:rsidR="00CB0CF9" w:rsidRPr="00CB0CF9">
        <w:rPr>
          <w:rFonts w:asciiTheme="majorHAnsi" w:eastAsia="Arial Black" w:hAnsiTheme="majorHAnsi" w:cstheme="majorHAnsi"/>
          <w:b/>
          <w:bCs/>
          <w:color w:val="000000"/>
          <w:sz w:val="10"/>
          <w:szCs w:val="10"/>
        </w:rPr>
        <w:t xml:space="preserve">Kevin </w:t>
      </w:r>
      <w:proofErr w:type="spellStart"/>
      <w:r w:rsidR="00CB0CF9" w:rsidRPr="00CB0CF9">
        <w:rPr>
          <w:rFonts w:asciiTheme="majorHAnsi" w:eastAsia="Arial Black" w:hAnsiTheme="majorHAnsi" w:cstheme="majorHAnsi"/>
          <w:b/>
          <w:bCs/>
          <w:color w:val="000000"/>
          <w:sz w:val="10"/>
          <w:szCs w:val="10"/>
        </w:rPr>
        <w:t>Levrone</w:t>
      </w:r>
      <w:proofErr w:type="spellEnd"/>
      <w:r w:rsidR="00CB0CF9" w:rsidRPr="00CB0CF9">
        <w:rPr>
          <w:rFonts w:asciiTheme="majorHAnsi" w:eastAsia="Arial Black" w:hAnsiTheme="majorHAnsi" w:cstheme="majorHAnsi"/>
          <w:b/>
          <w:bCs/>
          <w:color w:val="000000"/>
          <w:sz w:val="10"/>
          <w:szCs w:val="10"/>
        </w:rPr>
        <w:t xml:space="preserve"> </w:t>
      </w:r>
      <w:proofErr w:type="spellStart"/>
      <w:r w:rsidR="00CB0CF9" w:rsidRPr="00CB0CF9">
        <w:rPr>
          <w:rFonts w:asciiTheme="majorHAnsi" w:eastAsia="Arial Black" w:hAnsiTheme="majorHAnsi" w:cstheme="majorHAnsi"/>
          <w:b/>
          <w:bCs/>
          <w:color w:val="000000"/>
          <w:sz w:val="10"/>
          <w:szCs w:val="10"/>
        </w:rPr>
        <w:t>Digestion</w:t>
      </w:r>
      <w:proofErr w:type="spellEnd"/>
      <w:r w:rsidR="00CB0CF9" w:rsidRPr="00CB0CF9">
        <w:rPr>
          <w:rFonts w:asciiTheme="majorHAnsi" w:eastAsia="Arial Black" w:hAnsiTheme="majorHAnsi" w:cstheme="majorHAnsi"/>
          <w:b/>
          <w:bCs/>
          <w:color w:val="000000"/>
          <w:sz w:val="10"/>
          <w:szCs w:val="10"/>
        </w:rPr>
        <w:t xml:space="preserve"> </w:t>
      </w:r>
      <w:proofErr w:type="spellStart"/>
      <w:r w:rsidR="00CB0CF9" w:rsidRPr="00CB0CF9">
        <w:rPr>
          <w:rFonts w:asciiTheme="majorHAnsi" w:eastAsia="Arial Black" w:hAnsiTheme="majorHAnsi" w:cstheme="majorHAnsi"/>
          <w:b/>
          <w:bCs/>
          <w:color w:val="000000"/>
          <w:sz w:val="10"/>
          <w:szCs w:val="10"/>
        </w:rPr>
        <w:t>Formula</w:t>
      </w:r>
      <w:proofErr w:type="spellEnd"/>
      <w:r w:rsidR="00CB0CF9" w:rsidRPr="00CB0CF9">
        <w:rPr>
          <w:rFonts w:asciiTheme="majorHAnsi" w:eastAsia="Arial Black" w:hAnsiTheme="majorHAnsi" w:cstheme="majorHAnsi"/>
          <w:b/>
          <w:bCs/>
          <w:color w:val="000000"/>
          <w:sz w:val="10"/>
          <w:szCs w:val="10"/>
        </w:rPr>
        <w:t xml:space="preserve"> - 90 tablet</w:t>
      </w:r>
    </w:p>
    <w:p w14:paraId="5B226307" w14:textId="5D156F2C" w:rsidR="00774798" w:rsidRPr="00CB0CF9" w:rsidRDefault="00EE4100">
      <w:pPr>
        <w:pStyle w:val="LO-normal"/>
        <w:spacing w:after="0" w:line="240" w:lineRule="auto"/>
        <w:rPr>
          <w:rFonts w:asciiTheme="majorHAnsi" w:eastAsia="Arial Narrow" w:hAnsiTheme="majorHAnsi" w:cstheme="majorHAnsi"/>
          <w:color w:val="000000"/>
          <w:sz w:val="10"/>
          <w:szCs w:val="10"/>
        </w:rPr>
      </w:pPr>
      <w:r w:rsidRPr="00CB0CF9">
        <w:rPr>
          <w:rFonts w:asciiTheme="majorHAnsi" w:eastAsia="Arial Narrow" w:hAnsiTheme="majorHAnsi" w:cstheme="majorHAnsi"/>
          <w:b/>
          <w:color w:val="000000"/>
          <w:sz w:val="10"/>
          <w:szCs w:val="10"/>
        </w:rPr>
        <w:t>Obsah balení:</w:t>
      </w:r>
      <w:r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 xml:space="preserve"> 90 kapslí (</w:t>
      </w:r>
      <w:r w:rsidR="00CB0CF9"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>144</w:t>
      </w:r>
      <w:r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 xml:space="preserve"> g) </w:t>
      </w:r>
    </w:p>
    <w:p w14:paraId="513DF821" w14:textId="2AF12152" w:rsidR="00774798" w:rsidRPr="00CB0CF9" w:rsidRDefault="00EE4100">
      <w:pPr>
        <w:pStyle w:val="LO-normal"/>
        <w:spacing w:after="0" w:line="240" w:lineRule="auto"/>
        <w:rPr>
          <w:rFonts w:asciiTheme="majorHAnsi" w:eastAsia="Arial Narrow" w:hAnsiTheme="majorHAnsi" w:cstheme="majorHAnsi"/>
          <w:color w:val="000000"/>
          <w:sz w:val="10"/>
          <w:szCs w:val="10"/>
        </w:rPr>
      </w:pPr>
      <w:r w:rsidRPr="00CB0CF9">
        <w:rPr>
          <w:rFonts w:asciiTheme="majorHAnsi" w:eastAsia="Arial Narrow" w:hAnsiTheme="majorHAnsi" w:cstheme="majorHAnsi"/>
          <w:b/>
          <w:color w:val="000000"/>
          <w:sz w:val="10"/>
          <w:szCs w:val="10"/>
        </w:rPr>
        <w:t>Doporučené použití:</w:t>
      </w:r>
      <w:r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 xml:space="preserve"> Užívejte jednu kapsli </w:t>
      </w:r>
      <w:r w:rsidR="00CB0CF9"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>s prvním jídlem</w:t>
      </w:r>
    </w:p>
    <w:p w14:paraId="578C9085" w14:textId="77777777" w:rsidR="00CB0CF9" w:rsidRDefault="00CB0CF9">
      <w:pPr>
        <w:pStyle w:val="LO-normal"/>
        <w:spacing w:after="0" w:line="240" w:lineRule="auto"/>
        <w:rPr>
          <w:rFonts w:asciiTheme="majorHAnsi" w:eastAsia="Arial Narrow" w:hAnsiTheme="majorHAnsi" w:cstheme="majorHAnsi"/>
          <w:b/>
          <w:color w:val="000000"/>
          <w:sz w:val="10"/>
          <w:szCs w:val="10"/>
        </w:rPr>
      </w:pPr>
    </w:p>
    <w:p w14:paraId="6D33B885" w14:textId="6A40EB37" w:rsidR="00CB0CF9" w:rsidRPr="00CB0CF9" w:rsidRDefault="00EE4100">
      <w:pPr>
        <w:pStyle w:val="LO-normal"/>
        <w:spacing w:after="0" w:line="240" w:lineRule="auto"/>
        <w:rPr>
          <w:rFonts w:asciiTheme="majorHAnsi" w:eastAsia="Arial Narrow" w:hAnsiTheme="majorHAnsi" w:cstheme="majorHAnsi"/>
          <w:color w:val="000000"/>
          <w:sz w:val="10"/>
          <w:szCs w:val="10"/>
        </w:rPr>
      </w:pPr>
      <w:r w:rsidRPr="00CB0CF9">
        <w:rPr>
          <w:rFonts w:asciiTheme="majorHAnsi" w:eastAsia="Arial Narrow" w:hAnsiTheme="majorHAnsi" w:cstheme="majorHAnsi"/>
          <w:b/>
          <w:color w:val="000000"/>
          <w:sz w:val="10"/>
          <w:szCs w:val="10"/>
        </w:rPr>
        <w:t xml:space="preserve">Obsah v jedné kapsli: </w:t>
      </w:r>
      <w:r w:rsidR="00CB0CF9"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 xml:space="preserve">Prášek z oddenku zázvoru 220 mg, Prášek z oddenku kurkumy 220 mg, Mletá skořice 25 mg, Prášek z kořene křenu 25 mg, Mletý česnek 25 mg, </w:t>
      </w:r>
      <w:proofErr w:type="spellStart"/>
      <w:r w:rsidR="00CB0CF9"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>AstraGin</w:t>
      </w:r>
      <w:proofErr w:type="spellEnd"/>
      <w:r w:rsidR="00CB0CF9"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 xml:space="preserve">® (extrakt z </w:t>
      </w:r>
      <w:proofErr w:type="spellStart"/>
      <w:r w:rsidR="00CB0CF9"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>Panax</w:t>
      </w:r>
      <w:proofErr w:type="spellEnd"/>
      <w:r w:rsidR="00CB0CF9"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 xml:space="preserve"> </w:t>
      </w:r>
      <w:proofErr w:type="spellStart"/>
      <w:r w:rsidR="00CB0CF9"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>notoginseng</w:t>
      </w:r>
      <w:proofErr w:type="spellEnd"/>
      <w:r w:rsidR="00CB0CF9"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 xml:space="preserve"> a </w:t>
      </w:r>
      <w:proofErr w:type="spellStart"/>
      <w:r w:rsidR="00CB0CF9"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>Astragalus</w:t>
      </w:r>
      <w:proofErr w:type="spellEnd"/>
      <w:r w:rsidR="00CB0CF9"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 xml:space="preserve"> </w:t>
      </w:r>
      <w:proofErr w:type="spellStart"/>
      <w:r w:rsidR="00CB0CF9"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>membranaceus</w:t>
      </w:r>
      <w:proofErr w:type="spellEnd"/>
      <w:r w:rsidR="00CB0CF9"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>) 25 mg, Extrakt z plodů kajenského pepře (10 % kapsaicinu) 20 mg (2 mg), Extrakt z plodů černého pepře (95 % piperinu) 2 mg (1,9 mg)</w:t>
      </w:r>
    </w:p>
    <w:p w14:paraId="47DCC241" w14:textId="77777777" w:rsidR="00CB0CF9" w:rsidRDefault="00CB0CF9">
      <w:pPr>
        <w:pStyle w:val="LO-normal"/>
        <w:spacing w:after="0" w:line="240" w:lineRule="auto"/>
        <w:rPr>
          <w:rFonts w:asciiTheme="majorHAnsi" w:eastAsia="Arial Narrow" w:hAnsiTheme="majorHAnsi" w:cstheme="majorHAnsi"/>
          <w:b/>
          <w:color w:val="000000"/>
          <w:sz w:val="10"/>
          <w:szCs w:val="10"/>
        </w:rPr>
      </w:pPr>
    </w:p>
    <w:p w14:paraId="2A2863CA" w14:textId="46911B9A" w:rsidR="00774798" w:rsidRPr="00CB0CF9" w:rsidRDefault="00EE4100">
      <w:pPr>
        <w:pStyle w:val="LO-normal"/>
        <w:spacing w:after="0" w:line="240" w:lineRule="auto"/>
        <w:rPr>
          <w:rFonts w:asciiTheme="majorHAnsi" w:eastAsia="Arial Narrow" w:hAnsiTheme="majorHAnsi" w:cstheme="majorHAnsi"/>
          <w:color w:val="000000"/>
          <w:sz w:val="10"/>
          <w:szCs w:val="10"/>
        </w:rPr>
      </w:pPr>
      <w:r w:rsidRPr="00CB0CF9">
        <w:rPr>
          <w:rFonts w:asciiTheme="majorHAnsi" w:eastAsia="Arial Narrow" w:hAnsiTheme="majorHAnsi" w:cstheme="majorHAnsi"/>
          <w:b/>
          <w:color w:val="000000"/>
          <w:sz w:val="10"/>
          <w:szCs w:val="10"/>
        </w:rPr>
        <w:t xml:space="preserve">Složení: </w:t>
      </w:r>
      <w:r w:rsidR="00CB0CF9"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 xml:space="preserve">komplex prášků a rostlinných extraktů [prášek z oddenku zázvoru, prášek z oddenku kurkumy, mletá skořice, prášek z kořene křenu, mletý česnek, </w:t>
      </w:r>
      <w:proofErr w:type="spellStart"/>
      <w:r w:rsidR="00CB0CF9"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>AstraGin</w:t>
      </w:r>
      <w:proofErr w:type="spellEnd"/>
      <w:r w:rsidR="00CB0CF9"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 xml:space="preserve">® (extrakt z </w:t>
      </w:r>
      <w:proofErr w:type="spellStart"/>
      <w:r w:rsidR="00CB0CF9"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>Panax</w:t>
      </w:r>
      <w:proofErr w:type="spellEnd"/>
      <w:r w:rsidR="00CB0CF9"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 xml:space="preserve"> </w:t>
      </w:r>
      <w:proofErr w:type="spellStart"/>
      <w:r w:rsidR="00CB0CF9"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>notoginseng</w:t>
      </w:r>
      <w:proofErr w:type="spellEnd"/>
      <w:r w:rsidR="00CB0CF9"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 xml:space="preserve"> a </w:t>
      </w:r>
      <w:proofErr w:type="spellStart"/>
      <w:r w:rsidR="00CB0CF9"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>Astragalus</w:t>
      </w:r>
      <w:proofErr w:type="spellEnd"/>
      <w:r w:rsidR="00CB0CF9"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 xml:space="preserve"> </w:t>
      </w:r>
      <w:proofErr w:type="spellStart"/>
      <w:r w:rsidR="00CB0CF9"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>membranaceus</w:t>
      </w:r>
      <w:proofErr w:type="spellEnd"/>
      <w:r w:rsidR="00CB0CF9"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 xml:space="preserve">), extrakt z plodů kajenského </w:t>
      </w:r>
      <w:proofErr w:type="gramStart"/>
      <w:r w:rsidR="00CB0CF9"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>pepře ;</w:t>
      </w:r>
      <w:proofErr w:type="gramEnd"/>
      <w:r w:rsidR="00CB0CF9"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 xml:space="preserve"> 10 % kapsaicinu), extrakt z plodů černého pepře; 95 % piperinu), pojivo (</w:t>
      </w:r>
      <w:r w:rsidR="00CB0CF9" w:rsidRPr="00CB0CF9">
        <w:rPr>
          <w:rFonts w:asciiTheme="majorHAnsi" w:eastAsia="Arial Narrow" w:hAnsiTheme="majorHAnsi" w:cstheme="majorHAnsi"/>
          <w:b/>
          <w:bCs/>
          <w:color w:val="000000"/>
          <w:sz w:val="10"/>
          <w:szCs w:val="10"/>
        </w:rPr>
        <w:t>E460</w:t>
      </w:r>
      <w:r w:rsidR="00CB0CF9"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>(i)), objemové činidlo (</w:t>
      </w:r>
      <w:r w:rsidR="00CB0CF9" w:rsidRPr="00CB0CF9">
        <w:rPr>
          <w:rFonts w:asciiTheme="majorHAnsi" w:eastAsia="Arial Narrow" w:hAnsiTheme="majorHAnsi" w:cstheme="majorHAnsi"/>
          <w:b/>
          <w:bCs/>
          <w:color w:val="000000"/>
          <w:sz w:val="10"/>
          <w:szCs w:val="10"/>
        </w:rPr>
        <w:t>E170</w:t>
      </w:r>
      <w:r w:rsidR="00CB0CF9"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 xml:space="preserve">), </w:t>
      </w:r>
      <w:r w:rsidR="00CB0CF9" w:rsidRPr="00CB0CF9">
        <w:rPr>
          <w:rFonts w:asciiTheme="majorHAnsi" w:eastAsia="Arial Narrow" w:hAnsiTheme="majorHAnsi" w:cstheme="majorHAnsi"/>
          <w:b/>
          <w:bCs/>
          <w:color w:val="000000"/>
          <w:sz w:val="10"/>
          <w:szCs w:val="10"/>
        </w:rPr>
        <w:t>maltodextrin</w:t>
      </w:r>
      <w:r w:rsidR="00CB0CF9"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>, protispékavé látky (</w:t>
      </w:r>
      <w:r w:rsidR="00CB0CF9" w:rsidRPr="00CB0CF9">
        <w:rPr>
          <w:rFonts w:asciiTheme="majorHAnsi" w:eastAsia="Arial Narrow" w:hAnsiTheme="majorHAnsi" w:cstheme="majorHAnsi"/>
          <w:b/>
          <w:bCs/>
          <w:color w:val="000000"/>
          <w:sz w:val="10"/>
          <w:szCs w:val="10"/>
        </w:rPr>
        <w:t>E470b</w:t>
      </w:r>
      <w:r w:rsidR="00CB0CF9"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 xml:space="preserve">, </w:t>
      </w:r>
      <w:r w:rsidR="00CB0CF9" w:rsidRPr="00CB0CF9">
        <w:rPr>
          <w:rFonts w:asciiTheme="majorHAnsi" w:eastAsia="Arial Narrow" w:hAnsiTheme="majorHAnsi" w:cstheme="majorHAnsi"/>
          <w:b/>
          <w:bCs/>
          <w:color w:val="000000"/>
          <w:sz w:val="10"/>
          <w:szCs w:val="10"/>
        </w:rPr>
        <w:t>E551</w:t>
      </w:r>
      <w:r w:rsidR="00CB0CF9"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>).</w:t>
      </w:r>
    </w:p>
    <w:p w14:paraId="3B41E6D2" w14:textId="77777777" w:rsidR="00CB0CF9" w:rsidRDefault="00CB0CF9">
      <w:pPr>
        <w:pStyle w:val="LO-normal"/>
        <w:spacing w:after="0" w:line="240" w:lineRule="auto"/>
        <w:rPr>
          <w:rFonts w:asciiTheme="majorHAnsi" w:eastAsia="Arial Narrow" w:hAnsiTheme="majorHAnsi" w:cstheme="majorHAnsi"/>
          <w:b/>
          <w:color w:val="000000"/>
          <w:sz w:val="10"/>
          <w:szCs w:val="10"/>
        </w:rPr>
      </w:pPr>
    </w:p>
    <w:p w14:paraId="062091ED" w14:textId="6F5C1942" w:rsidR="00CB0CF9" w:rsidRDefault="00EE4100">
      <w:pPr>
        <w:pStyle w:val="LO-normal"/>
        <w:spacing w:after="0" w:line="240" w:lineRule="auto"/>
        <w:rPr>
          <w:rFonts w:asciiTheme="majorHAnsi" w:hAnsiTheme="majorHAnsi" w:cstheme="majorHAnsi"/>
          <w:sz w:val="10"/>
          <w:szCs w:val="10"/>
        </w:rPr>
      </w:pPr>
      <w:r w:rsidRPr="00CB0CF9">
        <w:rPr>
          <w:rFonts w:asciiTheme="majorHAnsi" w:eastAsia="Arial Narrow" w:hAnsiTheme="majorHAnsi" w:cstheme="majorHAnsi"/>
          <w:b/>
          <w:color w:val="000000"/>
          <w:sz w:val="10"/>
          <w:szCs w:val="10"/>
        </w:rPr>
        <w:t xml:space="preserve">Upozornění: </w:t>
      </w:r>
      <w:r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 xml:space="preserve">Nepřekračujte doporučenou denní dávku. Doplněk není určen jako náhražka pestré a vyvážené stravy. </w:t>
      </w:r>
      <w:proofErr w:type="gramStart"/>
      <w:r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>Neužívejte</w:t>
      </w:r>
      <w:proofErr w:type="gramEnd"/>
      <w:r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 xml:space="preserve"> pokud jste alergičtí na jakoukoli složku přípravku. Uchovávejte mimo dosah dětí. Kojící či těhotné ženy by měly užití konzultovat se svým lékařem.   </w:t>
      </w:r>
      <w:r w:rsidRPr="00CB0CF9">
        <w:rPr>
          <w:rFonts w:asciiTheme="majorHAnsi" w:hAnsiTheme="majorHAnsi" w:cstheme="majorHAnsi"/>
          <w:sz w:val="10"/>
          <w:szCs w:val="10"/>
        </w:rPr>
        <w:t xml:space="preserve"> </w:t>
      </w:r>
    </w:p>
    <w:p w14:paraId="2374D070" w14:textId="2A8AE33A" w:rsidR="00774798" w:rsidRPr="00CB0CF9" w:rsidRDefault="00EE4100">
      <w:pPr>
        <w:pStyle w:val="LO-normal"/>
        <w:spacing w:after="0" w:line="240" w:lineRule="auto"/>
        <w:rPr>
          <w:rFonts w:asciiTheme="majorHAnsi" w:eastAsia="Arial Narrow" w:hAnsiTheme="majorHAnsi" w:cstheme="majorHAnsi"/>
          <w:color w:val="000000"/>
          <w:sz w:val="10"/>
          <w:szCs w:val="10"/>
        </w:rPr>
      </w:pPr>
      <w:r w:rsidRPr="00CB0CF9">
        <w:rPr>
          <w:rFonts w:asciiTheme="majorHAnsi" w:eastAsia="Arial Narrow" w:hAnsiTheme="majorHAnsi" w:cstheme="majorHAnsi"/>
          <w:b/>
          <w:color w:val="000000"/>
          <w:sz w:val="10"/>
          <w:szCs w:val="10"/>
        </w:rPr>
        <w:t xml:space="preserve">Skladování: </w:t>
      </w:r>
      <w:r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 xml:space="preserve">Uchovávejte na suchém místě při </w:t>
      </w:r>
      <w:r w:rsidRPr="00CB0CF9">
        <w:rPr>
          <w:rFonts w:asciiTheme="majorHAnsi" w:eastAsia="Arial Narrow" w:hAnsiTheme="majorHAnsi" w:cstheme="majorHAnsi"/>
          <w:b/>
          <w:color w:val="000000"/>
          <w:sz w:val="10"/>
          <w:szCs w:val="10"/>
        </w:rPr>
        <w:t>pokojové</w:t>
      </w:r>
      <w:r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 xml:space="preserve"> teplotě (15°-</w:t>
      </w:r>
      <w:proofErr w:type="gramStart"/>
      <w:r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>25°C</w:t>
      </w:r>
      <w:proofErr w:type="gramEnd"/>
      <w:r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>) Chraňte před světlem. Výrobek nezmrazujte.</w:t>
      </w:r>
    </w:p>
    <w:p w14:paraId="536D2E54" w14:textId="4D1426F2" w:rsidR="00774798" w:rsidRPr="00CB0CF9" w:rsidRDefault="00EE4100">
      <w:pPr>
        <w:pStyle w:val="LO-normal"/>
        <w:spacing w:after="0" w:line="240" w:lineRule="auto"/>
        <w:jc w:val="both"/>
        <w:rPr>
          <w:rFonts w:asciiTheme="majorHAnsi" w:eastAsia="Arial Black" w:hAnsiTheme="majorHAnsi" w:cstheme="majorHAnsi"/>
          <w:sz w:val="10"/>
          <w:szCs w:val="10"/>
        </w:rPr>
      </w:pPr>
      <w:r w:rsidRPr="00CB0CF9">
        <w:rPr>
          <w:rFonts w:asciiTheme="majorHAnsi" w:eastAsia="Arial Narrow" w:hAnsiTheme="majorHAnsi" w:cstheme="majorHAnsi"/>
          <w:sz w:val="10"/>
          <w:szCs w:val="10"/>
        </w:rPr>
        <w:t xml:space="preserve"> </w:t>
      </w:r>
      <w:r w:rsidRPr="00CB0CF9">
        <w:rPr>
          <w:rFonts w:asciiTheme="majorHAnsi" w:eastAsia="Arial Narrow" w:hAnsiTheme="majorHAnsi" w:cstheme="majorHAnsi"/>
          <w:b/>
          <w:sz w:val="10"/>
          <w:szCs w:val="10"/>
        </w:rPr>
        <w:t>Výrobce:</w:t>
      </w:r>
      <w:r w:rsidRPr="00CB0CF9">
        <w:rPr>
          <w:rFonts w:asciiTheme="majorHAnsi" w:eastAsia="Arial Narrow" w:hAnsiTheme="majorHAnsi" w:cstheme="majorHAnsi"/>
          <w:sz w:val="10"/>
          <w:szCs w:val="10"/>
        </w:rPr>
        <w:t xml:space="preserve"> Uveden na obale. </w:t>
      </w:r>
      <w:r w:rsidRPr="00CB0CF9">
        <w:rPr>
          <w:rFonts w:asciiTheme="majorHAnsi" w:eastAsia="Arial Narrow" w:hAnsiTheme="majorHAnsi" w:cstheme="majorHAnsi"/>
          <w:b/>
          <w:sz w:val="10"/>
          <w:szCs w:val="10"/>
        </w:rPr>
        <w:t>Spotřebujte do:</w:t>
      </w:r>
      <w:r w:rsidRPr="00CB0CF9">
        <w:rPr>
          <w:rFonts w:asciiTheme="majorHAnsi" w:eastAsia="Arial Narrow" w:hAnsiTheme="majorHAnsi" w:cstheme="majorHAnsi"/>
          <w:sz w:val="10"/>
          <w:szCs w:val="10"/>
        </w:rPr>
        <w:t xml:space="preserve"> Datum uvedeno na obale. </w:t>
      </w:r>
      <w:r w:rsidRPr="00CB0CF9">
        <w:rPr>
          <w:rFonts w:asciiTheme="majorHAnsi" w:eastAsia="Arial Narrow" w:hAnsiTheme="majorHAnsi" w:cstheme="majorHAnsi"/>
          <w:b/>
          <w:sz w:val="10"/>
          <w:szCs w:val="10"/>
        </w:rPr>
        <w:t>Distributor:</w:t>
      </w:r>
      <w:r w:rsidRPr="00CB0CF9">
        <w:rPr>
          <w:rFonts w:asciiTheme="majorHAnsi" w:eastAsia="Arial Narrow" w:hAnsiTheme="majorHAnsi" w:cstheme="majorHAnsi"/>
          <w:sz w:val="10"/>
          <w:szCs w:val="10"/>
        </w:rPr>
        <w:t xml:space="preserve"> FIT PRO SPORT s.r.o., VAT NUMBER: CZ08410976, </w:t>
      </w:r>
      <w:hyperlink r:id="rId4">
        <w:r w:rsidRPr="00CB0CF9">
          <w:rPr>
            <w:rStyle w:val="Hypertextovodkaz"/>
            <w:rFonts w:asciiTheme="majorHAnsi" w:eastAsia="Arial Narrow" w:hAnsiTheme="majorHAnsi" w:cstheme="majorHAnsi"/>
            <w:sz w:val="10"/>
            <w:szCs w:val="10"/>
          </w:rPr>
          <w:t>www.fitprosport.cz</w:t>
        </w:r>
      </w:hyperlink>
    </w:p>
    <w:sectPr w:rsidR="00774798" w:rsidRPr="00CB0CF9">
      <w:pgSz w:w="3402" w:h="3402" w:orient="landscape"/>
      <w:pgMar w:top="57" w:right="170" w:bottom="57" w:left="170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798"/>
    <w:rsid w:val="00240EC0"/>
    <w:rsid w:val="00513FC9"/>
    <w:rsid w:val="00774798"/>
    <w:rsid w:val="00CB0CF9"/>
    <w:rsid w:val="00EE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24E3"/>
  <w15:docId w15:val="{F9FA24AD-ABF1-4988-A008-D0C7C9EF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4" w:lineRule="auto"/>
    </w:pPr>
  </w:style>
  <w:style w:type="paragraph" w:styleId="Nadpis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  <w:color w:val="000000"/>
    </w:rPr>
  </w:style>
  <w:style w:type="paragraph" w:styleId="Nadpis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160" w:line="254" w:lineRule="auto"/>
    </w:pPr>
  </w:style>
  <w:style w:type="paragraph" w:styleId="Nzev">
    <w:name w:val="Title"/>
    <w:basedOn w:val="LO-normal"/>
    <w:next w:val="LO-normal"/>
    <w:uiPriority w:val="10"/>
    <w:qFormat/>
    <w:pPr>
      <w:keepNext/>
      <w:keepLines/>
      <w:spacing w:before="480" w:after="120" w:line="240" w:lineRule="auto"/>
    </w:pPr>
    <w:rPr>
      <w:b/>
      <w:color w:val="000000"/>
      <w:sz w:val="72"/>
      <w:szCs w:val="72"/>
    </w:rPr>
  </w:style>
  <w:style w:type="paragraph" w:styleId="Podnadpis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nessauthority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dc:description/>
  <cp:lastModifiedBy>host</cp:lastModifiedBy>
  <cp:revision>2</cp:revision>
  <dcterms:created xsi:type="dcterms:W3CDTF">2025-01-22T09:50:00Z</dcterms:created>
  <dcterms:modified xsi:type="dcterms:W3CDTF">2025-01-22T09:50:00Z</dcterms:modified>
  <dc:language>cs-CZ</dc:language>
</cp:coreProperties>
</file>