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6109" w14:textId="77777777" w:rsidR="00215B52" w:rsidRPr="00215B52" w:rsidRDefault="00215B52" w:rsidP="00215B52">
      <w:pPr>
        <w:pStyle w:val="LO-normal"/>
        <w:spacing w:after="0" w:line="240" w:lineRule="auto"/>
        <w:rPr>
          <w:rFonts w:asciiTheme="majorHAnsi" w:eastAsia="Arial Black" w:hAnsiTheme="majorHAnsi" w:cstheme="majorHAnsi"/>
          <w:color w:val="000000"/>
          <w:sz w:val="10"/>
          <w:szCs w:val="10"/>
        </w:rPr>
      </w:pPr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(SK)Kevin </w:t>
      </w:r>
      <w:proofErr w:type="spellStart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>Levrone</w:t>
      </w:r>
      <w:proofErr w:type="spellEnd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>Clear</w:t>
      </w:r>
      <w:proofErr w:type="spellEnd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>Hydrolyzate</w:t>
      </w:r>
      <w:proofErr w:type="spellEnd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>Whey</w:t>
      </w:r>
      <w:proofErr w:type="spellEnd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- 390 g</w:t>
      </w:r>
    </w:p>
    <w:p w14:paraId="56827A39" w14:textId="3B67974C" w:rsidR="00215B52" w:rsidRPr="00215B52" w:rsidRDefault="00215B52" w:rsidP="00215B52">
      <w:pPr>
        <w:pStyle w:val="LO-normal"/>
        <w:spacing w:after="0" w:line="240" w:lineRule="auto"/>
        <w:rPr>
          <w:rFonts w:asciiTheme="majorHAnsi" w:eastAsia="Arial Black" w:hAnsiTheme="majorHAnsi" w:cstheme="majorHAnsi"/>
          <w:color w:val="000000"/>
          <w:sz w:val="10"/>
          <w:szCs w:val="10"/>
        </w:rPr>
      </w:pPr>
      <w:proofErr w:type="spellStart"/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Veľkosť</w:t>
      </w:r>
      <w:proofErr w:type="spellEnd"/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porcie</w:t>
      </w:r>
      <w:proofErr w:type="spellEnd"/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:</w:t>
      </w:r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26 g </w:t>
      </w:r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Počet </w:t>
      </w:r>
      <w:proofErr w:type="spellStart"/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porcií</w:t>
      </w:r>
      <w:proofErr w:type="spellEnd"/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v balení:</w:t>
      </w:r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15</w:t>
      </w:r>
    </w:p>
    <w:p w14:paraId="5F4BA9B2" w14:textId="6697C262" w:rsidR="002B6135" w:rsidRDefault="00215B52" w:rsidP="00215B52">
      <w:pPr>
        <w:pStyle w:val="LO-normal"/>
        <w:spacing w:after="0" w:line="240" w:lineRule="auto"/>
        <w:rPr>
          <w:rFonts w:asciiTheme="majorHAnsi" w:eastAsia="Arial Black" w:hAnsiTheme="majorHAnsi" w:cstheme="majorHAnsi"/>
          <w:color w:val="000000"/>
          <w:sz w:val="10"/>
          <w:szCs w:val="10"/>
        </w:rPr>
      </w:pPr>
      <w:proofErr w:type="spellStart"/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Odporúčané</w:t>
      </w:r>
      <w:proofErr w:type="spellEnd"/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dávkovanie</w:t>
      </w:r>
      <w:proofErr w:type="spellEnd"/>
      <w:r w:rsidRPr="00215B52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:</w:t>
      </w:r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1 </w:t>
      </w:r>
      <w:proofErr w:type="spellStart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>odmerku</w:t>
      </w:r>
      <w:proofErr w:type="spellEnd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>zapite</w:t>
      </w:r>
      <w:proofErr w:type="spellEnd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200 ml vody a </w:t>
      </w:r>
      <w:proofErr w:type="spellStart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>užite</w:t>
      </w:r>
      <w:proofErr w:type="spellEnd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>ihneď</w:t>
      </w:r>
      <w:proofErr w:type="spellEnd"/>
      <w:r w:rsidRPr="00215B52">
        <w:rPr>
          <w:rFonts w:asciiTheme="majorHAnsi" w:eastAsia="Arial Black" w:hAnsiTheme="majorHAnsi" w:cstheme="majorHAnsi"/>
          <w:color w:val="000000"/>
          <w:sz w:val="10"/>
          <w:szCs w:val="10"/>
        </w:rPr>
        <w:t xml:space="preserve"> po tréningu.</w:t>
      </w:r>
    </w:p>
    <w:p w14:paraId="763FF45D" w14:textId="0E7FA648" w:rsidR="00215B52" w:rsidRPr="00215B52" w:rsidRDefault="00215B52" w:rsidP="00215B52">
      <w:pPr>
        <w:pStyle w:val="LO-normal"/>
        <w:spacing w:after="0" w:line="240" w:lineRule="auto"/>
        <w:rPr>
          <w:rFonts w:asciiTheme="majorHAnsi" w:eastAsia="Arial Narrow" w:hAnsiTheme="majorHAnsi" w:cstheme="majorHAnsi"/>
          <w:color w:val="000000"/>
          <w:sz w:val="10"/>
          <w:szCs w:val="10"/>
        </w:rPr>
      </w:pPr>
      <w:r w:rsidRPr="00215B52">
        <w:rPr>
          <w:rFonts w:asciiTheme="majorHAnsi" w:eastAsia="Arial Narrow" w:hAnsiTheme="majorHAnsi" w:cstheme="majorHAnsi"/>
          <w:b/>
          <w:bCs/>
          <w:color w:val="000000"/>
          <w:sz w:val="10"/>
          <w:szCs w:val="10"/>
        </w:rPr>
        <w:t xml:space="preserve">Výživové hodnoty v 1 </w:t>
      </w:r>
      <w:proofErr w:type="spellStart"/>
      <w:proofErr w:type="gramStart"/>
      <w:r w:rsidRPr="00215B52">
        <w:rPr>
          <w:rFonts w:asciiTheme="majorHAnsi" w:eastAsia="Arial Narrow" w:hAnsiTheme="majorHAnsi" w:cstheme="majorHAnsi"/>
          <w:b/>
          <w:bCs/>
          <w:color w:val="000000"/>
          <w:sz w:val="10"/>
          <w:szCs w:val="10"/>
        </w:rPr>
        <w:t>porcii</w:t>
      </w:r>
      <w:proofErr w:type="spellEnd"/>
      <w:r w:rsidRPr="00215B52">
        <w:rPr>
          <w:rFonts w:asciiTheme="majorHAnsi" w:eastAsia="Arial Narrow" w:hAnsiTheme="majorHAnsi" w:cstheme="majorHAnsi"/>
          <w:b/>
          <w:bCs/>
          <w:color w:val="000000"/>
          <w:sz w:val="10"/>
          <w:szCs w:val="10"/>
        </w:rPr>
        <w:t>(</w:t>
      </w:r>
      <w:proofErr w:type="gramEnd"/>
      <w:r w:rsidRPr="00215B52">
        <w:rPr>
          <w:rFonts w:asciiTheme="majorHAnsi" w:eastAsia="Arial Narrow" w:hAnsiTheme="majorHAnsi" w:cstheme="majorHAnsi"/>
          <w:b/>
          <w:bCs/>
          <w:color w:val="000000"/>
          <w:sz w:val="10"/>
          <w:szCs w:val="10"/>
        </w:rPr>
        <w:t>26 g</w:t>
      </w:r>
      <w:r w:rsidRPr="00215B52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) Energetická hodnota 365 </w:t>
      </w:r>
      <w:proofErr w:type="spellStart"/>
      <w:r w:rsidRPr="00215B52">
        <w:rPr>
          <w:rFonts w:asciiTheme="majorHAnsi" w:eastAsia="Arial Narrow" w:hAnsiTheme="majorHAnsi" w:cstheme="majorHAnsi"/>
          <w:color w:val="000000"/>
          <w:sz w:val="10"/>
          <w:szCs w:val="10"/>
        </w:rPr>
        <w:t>kJ</w:t>
      </w:r>
      <w:proofErr w:type="spellEnd"/>
      <w:r w:rsidRPr="00215B52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/ 86 kcal Tuky 0,03 g z toho </w:t>
      </w:r>
      <w:proofErr w:type="spellStart"/>
      <w:r w:rsidRPr="00215B52">
        <w:rPr>
          <w:rFonts w:asciiTheme="majorHAnsi" w:eastAsia="Arial Narrow" w:hAnsiTheme="majorHAnsi" w:cstheme="majorHAnsi"/>
          <w:color w:val="000000"/>
          <w:sz w:val="10"/>
          <w:szCs w:val="10"/>
        </w:rPr>
        <w:t>nasýtené</w:t>
      </w:r>
      <w:proofErr w:type="spellEnd"/>
      <w:r w:rsidRPr="00215B52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mastné kyseliny 0,03 g Sacharidy 1,4 g z toho cukry 0,39 g </w:t>
      </w:r>
      <w:proofErr w:type="spellStart"/>
      <w:r w:rsidRPr="00215B52">
        <w:rPr>
          <w:rFonts w:asciiTheme="majorHAnsi" w:eastAsia="Arial Narrow" w:hAnsiTheme="majorHAnsi" w:cstheme="majorHAnsi"/>
          <w:color w:val="000000"/>
          <w:sz w:val="10"/>
          <w:szCs w:val="10"/>
        </w:rPr>
        <w:t>Bielkoviny</w:t>
      </w:r>
      <w:proofErr w:type="spellEnd"/>
      <w:r w:rsidRPr="00215B52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20 g </w:t>
      </w:r>
      <w:proofErr w:type="spellStart"/>
      <w:r w:rsidRPr="00215B52">
        <w:rPr>
          <w:rFonts w:asciiTheme="majorHAnsi" w:eastAsia="Arial Narrow" w:hAnsiTheme="majorHAnsi" w:cstheme="majorHAnsi"/>
          <w:color w:val="000000"/>
          <w:sz w:val="10"/>
          <w:szCs w:val="10"/>
        </w:rPr>
        <w:t>Soľ</w:t>
      </w:r>
      <w:proofErr w:type="spellEnd"/>
      <w:r w:rsidRPr="00215B52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0,47 g</w:t>
      </w:r>
    </w:p>
    <w:p w14:paraId="53F02B75" w14:textId="7A704836" w:rsidR="00DA23B7" w:rsidRPr="00215B52" w:rsidRDefault="00215B52" w:rsidP="00DA23B7">
      <w:pPr>
        <w:pStyle w:val="LO-normal"/>
        <w:spacing w:after="0"/>
        <w:rPr>
          <w:rFonts w:asciiTheme="majorHAnsi" w:eastAsia="Arial Narrow" w:hAnsiTheme="majorHAnsi" w:cstheme="majorHAnsi"/>
          <w:bCs/>
          <w:color w:val="000000"/>
          <w:sz w:val="10"/>
          <w:szCs w:val="10"/>
        </w:rPr>
      </w:pPr>
      <w:proofErr w:type="spellStart"/>
      <w:r w:rsidRPr="00215B52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Zloženie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: hydrolyzát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srvátkového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proteínového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koncentrátu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Lacprodan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® HYDRO.365 (z </w:t>
      </w:r>
      <w:proofErr w:type="spellStart"/>
      <w:r w:rsidRPr="00215B52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mlieka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),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arómy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regulátory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kyslosti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(E330, E334),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soľ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protihrudkujúca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látka (E551),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sladidlá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(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sukralóza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acesulfam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K,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glykozidy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steviolu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zo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stévie), koncentrát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šťavy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z červenej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repy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2,6,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farbivá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[(E160a)1,6, (E150c)3,4,5].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Príchute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: Mango 1,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Pitaya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2,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Broskyňový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ľadový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čaj 3, Citrónový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ľadový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čaj 4, Mango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ľadový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čaj 5,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Fruit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Twist 6.</w:t>
      </w:r>
    </w:p>
    <w:p w14:paraId="536D2E54" w14:textId="5DABCDA7" w:rsidR="00774798" w:rsidRPr="00CB0CF9" w:rsidRDefault="00215B52" w:rsidP="00DA23B7">
      <w:pPr>
        <w:pStyle w:val="LO-normal"/>
        <w:spacing w:after="0"/>
        <w:rPr>
          <w:rFonts w:asciiTheme="majorHAnsi" w:eastAsia="Arial Black" w:hAnsiTheme="majorHAnsi" w:cstheme="majorHAnsi"/>
          <w:sz w:val="10"/>
          <w:szCs w:val="10"/>
        </w:rPr>
      </w:pPr>
      <w:proofErr w:type="spellStart"/>
      <w:r w:rsidRPr="00215B52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Upozornenie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: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Nepoužívajte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ak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ste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alergickí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na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niektorú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zo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zložiek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výrobku.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Nepoužívajte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ak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ste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tehotná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alebo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dojčíte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.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Odporúča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vyvážená strava a zdravý životný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štýl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.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Uchovávajte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mimo dosahu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detí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.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Odmerka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ktorá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je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súčasťou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balenia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slúži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na jednoduché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dávkovanie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ale nezaručuje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presné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dávkovanie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. Na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odmeranie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presného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množstva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odporúča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použiť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váhu.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Pred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použitím nádobu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intenzívne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pretrepte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. Tento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výrobok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predáva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na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hmotnosť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nie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na objem.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Prášok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sa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môže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počas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prepravy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usadiť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,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čo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môže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ovplyvniť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jeho hustotu. Počet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porcií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je založený na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presnom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meraní</w:t>
      </w:r>
      <w:proofErr w:type="spellEnd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 xml:space="preserve"> </w:t>
      </w:r>
      <w:proofErr w:type="spellStart"/>
      <w:proofErr w:type="gramStart"/>
      <w:r w:rsidRPr="00215B52">
        <w:rPr>
          <w:rFonts w:asciiTheme="majorHAnsi" w:eastAsia="Arial Narrow" w:hAnsiTheme="majorHAnsi" w:cstheme="majorHAnsi"/>
          <w:bCs/>
          <w:color w:val="000000"/>
          <w:sz w:val="10"/>
          <w:szCs w:val="10"/>
        </w:rPr>
        <w:t>hmotnosti.</w:t>
      </w:r>
      <w:r w:rsidR="00EE4100"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Skladování</w:t>
      </w:r>
      <w:proofErr w:type="spellEnd"/>
      <w:proofErr w:type="gramEnd"/>
      <w:r w:rsidR="00EE4100"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: </w:t>
      </w:r>
      <w:r w:rsidR="00EE4100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Uchovávejte na suchém místě při </w:t>
      </w:r>
      <w:r w:rsidR="00EE4100"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pokojové</w:t>
      </w:r>
      <w:r w:rsidR="00EE4100"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teplotě (15°-25°C) Chraňte před světlem. Výrobek nezmrazujte.</w:t>
      </w:r>
      <w:r w:rsidR="00EE4100" w:rsidRPr="00CB0CF9">
        <w:rPr>
          <w:rFonts w:asciiTheme="majorHAnsi" w:eastAsia="Arial Narrow" w:hAnsiTheme="majorHAnsi" w:cstheme="majorHAnsi"/>
          <w:sz w:val="10"/>
          <w:szCs w:val="10"/>
        </w:rPr>
        <w:t xml:space="preserve"> </w:t>
      </w:r>
      <w:r w:rsidR="00EE4100" w:rsidRPr="00CB0CF9">
        <w:rPr>
          <w:rFonts w:asciiTheme="majorHAnsi" w:eastAsia="Arial Narrow" w:hAnsiTheme="majorHAnsi" w:cstheme="majorHAnsi"/>
          <w:b/>
          <w:sz w:val="10"/>
          <w:szCs w:val="10"/>
        </w:rPr>
        <w:t>Výrobce:</w:t>
      </w:r>
      <w:r w:rsidR="00EE4100" w:rsidRPr="00CB0CF9">
        <w:rPr>
          <w:rFonts w:asciiTheme="majorHAnsi" w:eastAsia="Arial Narrow" w:hAnsiTheme="majorHAnsi" w:cstheme="majorHAnsi"/>
          <w:sz w:val="10"/>
          <w:szCs w:val="10"/>
        </w:rPr>
        <w:t xml:space="preserve"> Uveden na obale. </w:t>
      </w:r>
      <w:r w:rsidR="00EE4100" w:rsidRPr="00CB0CF9">
        <w:rPr>
          <w:rFonts w:asciiTheme="majorHAnsi" w:eastAsia="Arial Narrow" w:hAnsiTheme="majorHAnsi" w:cstheme="majorHAnsi"/>
          <w:b/>
          <w:sz w:val="10"/>
          <w:szCs w:val="10"/>
        </w:rPr>
        <w:t>Spotřebujte do:</w:t>
      </w:r>
      <w:r w:rsidR="00EE4100" w:rsidRPr="00CB0CF9">
        <w:rPr>
          <w:rFonts w:asciiTheme="majorHAnsi" w:eastAsia="Arial Narrow" w:hAnsiTheme="majorHAnsi" w:cstheme="majorHAnsi"/>
          <w:sz w:val="10"/>
          <w:szCs w:val="10"/>
        </w:rPr>
        <w:t xml:space="preserve"> Datum uvedeno na obale. </w:t>
      </w:r>
      <w:r w:rsidR="00EE4100" w:rsidRPr="00CB0CF9">
        <w:rPr>
          <w:rFonts w:asciiTheme="majorHAnsi" w:eastAsia="Arial Narrow" w:hAnsiTheme="majorHAnsi" w:cstheme="majorHAnsi"/>
          <w:b/>
          <w:sz w:val="10"/>
          <w:szCs w:val="10"/>
        </w:rPr>
        <w:t>Distributor:</w:t>
      </w:r>
      <w:r w:rsidR="00EE4100" w:rsidRPr="00CB0CF9">
        <w:rPr>
          <w:rFonts w:asciiTheme="majorHAnsi" w:eastAsia="Arial Narrow" w:hAnsiTheme="majorHAnsi" w:cstheme="majorHAnsi"/>
          <w:sz w:val="10"/>
          <w:szCs w:val="10"/>
        </w:rPr>
        <w:t xml:space="preserve"> FIT PRO SPORT s.r.o., VAT NUMBER: CZ08410976, </w:t>
      </w:r>
      <w:hyperlink r:id="rId4">
        <w:r w:rsidR="00EE4100" w:rsidRPr="00CB0CF9">
          <w:rPr>
            <w:rStyle w:val="Hypertextovodkaz"/>
            <w:rFonts w:asciiTheme="majorHAnsi" w:eastAsia="Arial Narrow" w:hAnsiTheme="majorHAnsi" w:cstheme="majorHAnsi"/>
            <w:sz w:val="10"/>
            <w:szCs w:val="10"/>
          </w:rPr>
          <w:t>www.fitprosport.cz</w:t>
        </w:r>
      </w:hyperlink>
    </w:p>
    <w:sectPr w:rsidR="00774798" w:rsidRPr="00CB0CF9">
      <w:pgSz w:w="3402" w:h="3402" w:orient="landscape"/>
      <w:pgMar w:top="5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98"/>
    <w:rsid w:val="00215B52"/>
    <w:rsid w:val="00240EC0"/>
    <w:rsid w:val="002B6135"/>
    <w:rsid w:val="003B0CD4"/>
    <w:rsid w:val="00513FC9"/>
    <w:rsid w:val="00774798"/>
    <w:rsid w:val="00CB0CF9"/>
    <w:rsid w:val="00DA23B7"/>
    <w:rsid w:val="00E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24E3"/>
  <w15:docId w15:val="{F9FA24AD-ABF1-4988-A008-D0C7C9EF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4" w:lineRule="auto"/>
    </w:p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color w:val="000000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4" w:lineRule="auto"/>
    </w:p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A23B7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dc:description/>
  <cp:lastModifiedBy>host</cp:lastModifiedBy>
  <cp:revision>2</cp:revision>
  <dcterms:created xsi:type="dcterms:W3CDTF">2025-01-22T14:02:00Z</dcterms:created>
  <dcterms:modified xsi:type="dcterms:W3CDTF">2025-01-22T14:02:00Z</dcterms:modified>
  <dc:language>cs-CZ</dc:language>
</cp:coreProperties>
</file>