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9A50" w14:textId="77777777" w:rsidR="00F86EB4" w:rsidRDefault="00F86EB4" w:rsidP="00A8254C">
      <w:pPr>
        <w:rPr>
          <w:rFonts w:asciiTheme="majorHAnsi" w:eastAsia="Arial" w:hAnsiTheme="majorHAnsi" w:cstheme="majorHAnsi"/>
          <w:b/>
          <w:sz w:val="9"/>
          <w:szCs w:val="9"/>
        </w:rPr>
      </w:pPr>
      <w:r w:rsidRPr="00F86EB4">
        <w:rPr>
          <w:rFonts w:asciiTheme="majorHAnsi" w:eastAsia="Arial" w:hAnsiTheme="majorHAnsi" w:cstheme="majorHAnsi"/>
          <w:b/>
          <w:sz w:val="9"/>
          <w:szCs w:val="9"/>
        </w:rPr>
        <w:t xml:space="preserve">Kevin </w:t>
      </w:r>
      <w:proofErr w:type="spellStart"/>
      <w:r w:rsidRPr="00F86EB4">
        <w:rPr>
          <w:rFonts w:asciiTheme="majorHAnsi" w:eastAsia="Arial" w:hAnsiTheme="majorHAnsi" w:cstheme="majorHAnsi"/>
          <w:b/>
          <w:sz w:val="9"/>
          <w:szCs w:val="9"/>
        </w:rPr>
        <w:t>Levrone</w:t>
      </w:r>
      <w:proofErr w:type="spellEnd"/>
      <w:r w:rsidRPr="00F86EB4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F86EB4">
        <w:rPr>
          <w:rFonts w:asciiTheme="majorHAnsi" w:eastAsia="Arial" w:hAnsiTheme="majorHAnsi" w:cstheme="majorHAnsi"/>
          <w:b/>
          <w:sz w:val="9"/>
          <w:szCs w:val="9"/>
        </w:rPr>
        <w:t>Crea</w:t>
      </w:r>
      <w:proofErr w:type="spellEnd"/>
      <w:r w:rsidRPr="00F86EB4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F86EB4">
        <w:rPr>
          <w:rFonts w:asciiTheme="majorHAnsi" w:eastAsia="Arial" w:hAnsiTheme="majorHAnsi" w:cstheme="majorHAnsi"/>
          <w:b/>
          <w:sz w:val="9"/>
          <w:szCs w:val="9"/>
        </w:rPr>
        <w:t>Fusion</w:t>
      </w:r>
      <w:proofErr w:type="spellEnd"/>
      <w:r w:rsidRPr="00F86EB4">
        <w:rPr>
          <w:rFonts w:asciiTheme="majorHAnsi" w:eastAsia="Arial" w:hAnsiTheme="majorHAnsi" w:cstheme="majorHAnsi"/>
          <w:b/>
          <w:sz w:val="9"/>
          <w:szCs w:val="9"/>
        </w:rPr>
        <w:t xml:space="preserve"> - 345 g</w:t>
      </w:r>
    </w:p>
    <w:p w14:paraId="6A64ADA7" w14:textId="77777777" w:rsidR="00F86EB4" w:rsidRDefault="00A8254C" w:rsidP="008E7CA0">
      <w:pPr>
        <w:rPr>
          <w:rFonts w:asciiTheme="majorHAnsi" w:eastAsia="Arial" w:hAnsiTheme="majorHAnsi" w:cstheme="majorHAnsi"/>
          <w:b/>
          <w:sz w:val="9"/>
          <w:szCs w:val="9"/>
        </w:rPr>
      </w:pP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Veľkosť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porcie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>: 11,5 g</w:t>
      </w:r>
      <w:r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Obsah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balenia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>: 345 g</w:t>
      </w:r>
      <w:r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Počet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dávok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v balení: 30</w:t>
      </w:r>
    </w:p>
    <w:p w14:paraId="34522AFD" w14:textId="0B1D7168" w:rsidR="00A8254C" w:rsidRDefault="008E7CA0" w:rsidP="00322202">
      <w:pPr>
        <w:rPr>
          <w:rFonts w:asciiTheme="majorHAnsi" w:eastAsia="Arial" w:hAnsiTheme="majorHAnsi" w:cstheme="majorHAnsi"/>
          <w:b/>
          <w:sz w:val="9"/>
          <w:szCs w:val="9"/>
        </w:rPr>
      </w:pPr>
      <w:proofErr w:type="gramStart"/>
      <w:r w:rsidRPr="008E7CA0">
        <w:rPr>
          <w:rFonts w:asciiTheme="majorHAnsi" w:eastAsia="Arial" w:hAnsiTheme="majorHAnsi" w:cstheme="majorHAnsi"/>
          <w:b/>
          <w:sz w:val="9"/>
          <w:szCs w:val="9"/>
        </w:rPr>
        <w:t>Složení:  </w:t>
      </w:r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β</w:t>
      </w:r>
      <w:proofErr w:type="gram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-</w:t>
      </w:r>
      <w:proofErr w:type="spellStart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hydroxy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-β-</w:t>
      </w:r>
      <w:proofErr w:type="spellStart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metylbutyrát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vápnik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, plnidlo (fosforečnan vápenatý), </w:t>
      </w:r>
      <w:proofErr w:type="spellStart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protihrudkujúca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látka (E470b, oxid </w:t>
      </w:r>
      <w:proofErr w:type="spellStart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kremičitý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).</w:t>
      </w:r>
      <w:r w:rsidR="00F86EB4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322202" w:rsidRPr="00322202">
        <w:rPr>
          <w:rFonts w:asciiTheme="majorHAnsi" w:eastAsia="Arial" w:hAnsiTheme="majorHAnsi" w:cstheme="majorHAnsi"/>
          <w:b/>
          <w:sz w:val="9"/>
          <w:szCs w:val="9"/>
        </w:rPr>
        <w:t>Obsah v</w:t>
      </w:r>
      <w:r>
        <w:rPr>
          <w:rFonts w:asciiTheme="majorHAnsi" w:eastAsia="Arial" w:hAnsiTheme="majorHAnsi" w:cstheme="majorHAnsi"/>
          <w:b/>
          <w:sz w:val="9"/>
          <w:szCs w:val="9"/>
        </w:rPr>
        <w:t xml:space="preserve"> 11,5 </w:t>
      </w:r>
      <w:r w:rsidR="00322202" w:rsidRPr="00322202">
        <w:rPr>
          <w:rFonts w:asciiTheme="majorHAnsi" w:eastAsia="Arial" w:hAnsiTheme="majorHAnsi" w:cstheme="majorHAnsi"/>
          <w:b/>
          <w:sz w:val="9"/>
          <w:szCs w:val="9"/>
        </w:rPr>
        <w:t>g:</w:t>
      </w:r>
      <w:r w:rsidR="00FA2EC3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Kreatín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monohydrát</w:t>
      </w:r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5000 g, </w:t>
      </w:r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z toho 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kreatín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4395 g </w:t>
      </w:r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β-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hydroxy</w:t>
      </w:r>
      <w:proofErr w:type="spellEnd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-β-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metylbutyrát</w:t>
      </w:r>
      <w:proofErr w:type="spellEnd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3000 g, </w:t>
      </w:r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z toho kyselina β-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hydroxy</w:t>
      </w:r>
      <w:proofErr w:type="spellEnd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-β-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metylmaslová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2580 g 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Horčík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187,5 (50%DDD) 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Zinok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10 mg (100%DDD) </w:t>
      </w:r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Vitamín</w:t>
      </w:r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B6 1,4 mg(100%DDD)</w:t>
      </w:r>
    </w:p>
    <w:p w14:paraId="053CD025" w14:textId="6DAA52FD" w:rsidR="0069550B" w:rsidRPr="00283C22" w:rsidRDefault="00A8254C" w:rsidP="00322202">
      <w:pPr>
        <w:rPr>
          <w:rFonts w:asciiTheme="majorHAnsi" w:eastAsia="Arial" w:hAnsiTheme="majorHAnsi" w:cstheme="majorHAnsi"/>
          <w:b/>
          <w:sz w:val="9"/>
          <w:szCs w:val="9"/>
        </w:rPr>
      </w:pP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Upozornenie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: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Neužívajte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,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ak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ste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alergickí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na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niektorú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zo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zložiek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výrobku.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Neprekračujte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odporúčanú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dennú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dávku výrobku.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Výrobok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by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nemali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konzumovať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tehotné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ženy a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dojčiace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matky</w:t>
      </w:r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. Výživový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doplnok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nesmie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používať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ako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náhrada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pestrej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stravy.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Odporúča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vyvážená strava a zdravý životný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štýl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Uchovávajte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mimo dosahu malých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detí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>.</w:t>
      </w:r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Ak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užívate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lieky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,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pred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konzumáciou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tohto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výrobku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odporúča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poradiť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s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lekárom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>.</w:t>
      </w:r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Výrobok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spôsobiť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zvýšenie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telesnej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hmotnosti.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Odmerka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priložená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k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baleniu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slúži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na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uľahčenie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dávkovania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, ale nezaručuje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presné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dávkovanie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. Na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odmeranie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presného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množstva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odporúča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použiť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váhu.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Pred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použitím nádobu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silno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pretrepte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. Tento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výrobok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predáva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na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hmotnosť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nie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na objem.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počas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prepravy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usadiť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čo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ovplyvniť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jeho hustotu. Počet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porcií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určuje na </w:t>
      </w:r>
      <w:proofErr w:type="gram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základe</w:t>
      </w:r>
      <w:proofErr w:type="gram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presného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merania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hmotnosti.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Výrobce:</w:t>
      </w:r>
      <w:r w:rsidR="00FD205B" w:rsidRPr="00283C22">
        <w:rPr>
          <w:rFonts w:asciiTheme="majorHAnsi" w:eastAsia="Arial" w:hAnsiTheme="majorHAnsi" w:cstheme="majorHAnsi"/>
          <w:sz w:val="9"/>
          <w:szCs w:val="9"/>
        </w:rPr>
        <w:t xml:space="preserve"> Uveden na </w:t>
      </w:r>
      <w:proofErr w:type="spellStart"/>
      <w:proofErr w:type="gramStart"/>
      <w:r w:rsidR="00FD205B" w:rsidRPr="00283C22">
        <w:rPr>
          <w:rFonts w:asciiTheme="majorHAnsi" w:eastAsia="Arial" w:hAnsiTheme="majorHAnsi" w:cstheme="majorHAnsi"/>
          <w:sz w:val="9"/>
          <w:szCs w:val="9"/>
        </w:rPr>
        <w:t>obale.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Spotřebujte</w:t>
      </w:r>
      <w:proofErr w:type="spellEnd"/>
      <w:proofErr w:type="gramEnd"/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 xml:space="preserve"> do</w:t>
      </w:r>
      <w:r w:rsidR="001A50BE" w:rsidRPr="00283C22">
        <w:rPr>
          <w:rFonts w:asciiTheme="majorHAnsi" w:eastAsia="Arial" w:hAnsiTheme="majorHAnsi" w:cstheme="majorHAnsi"/>
          <w:sz w:val="9"/>
          <w:szCs w:val="9"/>
        </w:rPr>
        <w:t xml:space="preserve">: Datum uvedeno na obale.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Distributor: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Fit pro sport s.r.o., </w:t>
      </w:r>
      <w:r w:rsidR="00CF301D" w:rsidRPr="00283C22">
        <w:rPr>
          <w:rFonts w:asciiTheme="majorHAnsi" w:eastAsia="Arial" w:hAnsiTheme="majorHAnsi" w:cstheme="majorHAnsi"/>
          <w:b/>
          <w:sz w:val="9"/>
          <w:szCs w:val="9"/>
        </w:rPr>
        <w:t>VAT NUMBER: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 CZ08410976</w:t>
      </w:r>
      <w:r w:rsidR="001A50BE" w:rsidRPr="00283C22">
        <w:rPr>
          <w:rFonts w:asciiTheme="majorHAnsi" w:eastAsia="Arial" w:hAnsiTheme="majorHAnsi" w:cstheme="majorHAnsi"/>
          <w:sz w:val="9"/>
          <w:szCs w:val="9"/>
        </w:rPr>
        <w:t xml:space="preserve">, </w:t>
      </w:r>
      <w:hyperlink r:id="rId4" w:history="1">
        <w:r w:rsidR="0069550B" w:rsidRPr="00283C22">
          <w:rPr>
            <w:rStyle w:val="Hypertextovodkaz"/>
            <w:rFonts w:asciiTheme="majorHAnsi" w:eastAsia="Arial" w:hAnsiTheme="majorHAnsi" w:cstheme="majorHAnsi"/>
            <w:b/>
            <w:sz w:val="9"/>
            <w:szCs w:val="9"/>
          </w:rPr>
          <w:t>www.fitprosport.cz</w:t>
        </w:r>
      </w:hyperlink>
    </w:p>
    <w:sectPr w:rsidR="0069550B" w:rsidRPr="00283C22" w:rsidSect="00FD205B">
      <w:pgSz w:w="3402" w:h="3402"/>
      <w:pgMar w:top="180" w:right="162" w:bottom="284" w:left="1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5"/>
    <w:rsid w:val="00174C5F"/>
    <w:rsid w:val="001A50BE"/>
    <w:rsid w:val="001E15C4"/>
    <w:rsid w:val="002128FC"/>
    <w:rsid w:val="00283C22"/>
    <w:rsid w:val="00322202"/>
    <w:rsid w:val="00434BA1"/>
    <w:rsid w:val="004C05DC"/>
    <w:rsid w:val="00507296"/>
    <w:rsid w:val="005A0FFC"/>
    <w:rsid w:val="005D7C9D"/>
    <w:rsid w:val="00651596"/>
    <w:rsid w:val="0069550B"/>
    <w:rsid w:val="006D7125"/>
    <w:rsid w:val="008E7CA0"/>
    <w:rsid w:val="00A00B40"/>
    <w:rsid w:val="00A8254C"/>
    <w:rsid w:val="00AB5EBB"/>
    <w:rsid w:val="00AD1E30"/>
    <w:rsid w:val="00B059A0"/>
    <w:rsid w:val="00BA7D9E"/>
    <w:rsid w:val="00CF301D"/>
    <w:rsid w:val="00F86EB4"/>
    <w:rsid w:val="00FA2EC3"/>
    <w:rsid w:val="00FD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4C5"/>
  <w15:docId w15:val="{356A9416-408E-4CF1-A467-308DAD0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D7C9D"/>
  </w:style>
  <w:style w:type="paragraph" w:styleId="Nadpis1">
    <w:name w:val="heading 1"/>
    <w:basedOn w:val="Normln"/>
    <w:next w:val="Normln"/>
    <w:rsid w:val="005D7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D7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D7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D7C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D7C9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5D7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D7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D7C9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5D7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550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Ladenfuhrer</dc:creator>
  <cp:lastModifiedBy>host</cp:lastModifiedBy>
  <cp:revision>2</cp:revision>
  <cp:lastPrinted>2024-05-22T07:31:00Z</cp:lastPrinted>
  <dcterms:created xsi:type="dcterms:W3CDTF">2024-05-22T08:21:00Z</dcterms:created>
  <dcterms:modified xsi:type="dcterms:W3CDTF">2024-05-22T08:21:00Z</dcterms:modified>
</cp:coreProperties>
</file>